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28"/>
        <w:jc w:val="left"/>
        <w:rPr>
          <w:b/>
          <w:color w:val="0F5A7A"/>
          <w:sz w:val="32"/>
        </w:rPr>
      </w:pPr>
      <w:r>
        <w:rPr>
          <w:b/>
          <w:color w:val="0F5A7A"/>
          <w:sz w:val="32"/>
        </w:rPr>
        <w:t>Procuration générale</w:t>
      </w:r>
    </w:p>
    <w:p>
      <w:pPr>
        <w:pStyle w:val="Normal"/>
        <w:pBdr>
          <w:bottom w:val="single" w:sz="9" w:space="3" w:color="0F5A7A"/>
        </w:pBdr>
        <w:bidi w:val="0"/>
        <w:spacing w:before="0" w:after="198"/>
        <w:jc w:val="left"/>
        <w:rPr>
          <w:color w:val="555555"/>
          <w:sz w:val="17"/>
        </w:rPr>
      </w:pPr>
      <w:r>
        <w:rPr>
          <w:color w:val="555555"/>
          <w:sz w:val="17"/>
        </w:rPr>
        <w:t>Actes d'administration · Gratuit · procurationcentrale.com</w:t>
      </w:r>
    </w:p>
    <w:p>
      <w:pPr>
        <w:pStyle w:val="Normal"/>
        <w:bidi w:val="0"/>
        <w:spacing w:before="0" w:after="170"/>
        <w:jc w:val="both"/>
        <w:rPr>
          <w:sz w:val="20"/>
        </w:rPr>
      </w:pPr>
      <w:r>
        <w:rPr>
          <w:sz w:val="20"/>
        </w:rPr>
        <w:t>Je soussigné(e), désigné(e) ci-après comme le mandant, donne procuration au mandataire à l'effet d'accomplir en mon nom les actes d'administration énumérés ci-dessous, à l'exclusion de tout acte de disposition.</w:t>
      </w:r>
    </w:p>
    <w:p>
      <w:pPr>
        <w:pStyle w:val="Normal"/>
        <w:bidi w:val="0"/>
        <w:spacing w:before="198" w:after="68"/>
        <w:jc w:val="left"/>
        <w:rPr>
          <w:b/>
          <w:color w:val="0F5A7A"/>
          <w:spacing w:val="23"/>
          <w:sz w:val="17"/>
        </w:rPr>
      </w:pPr>
      <w:r>
        <w:rPr>
          <w:b/>
          <w:color w:val="0F5A7A"/>
          <w:spacing w:val="23"/>
          <w:sz w:val="17"/>
        </w:rPr>
        <w:t>Le mandant — celui qui donne le pouvoir</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Nom et prénom</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Né(e) le, à</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Demeurant à (adresse complète)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Pièce d'identité (type et numéro)</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bidi w:val="0"/>
        <w:spacing w:before="198" w:after="68"/>
        <w:jc w:val="left"/>
        <w:rPr>
          <w:b/>
          <w:color w:val="0F5A7A"/>
          <w:spacing w:val="23"/>
          <w:sz w:val="17"/>
        </w:rPr>
      </w:pPr>
      <w:r>
        <w:rPr>
          <w:b/>
          <w:color w:val="0F5A7A"/>
          <w:spacing w:val="23"/>
          <w:sz w:val="17"/>
        </w:rPr>
        <w:t>Le mandataire — celui qui agit au nom du mandant</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Nom et prénom</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Né(e) le, à</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Demeurant à (adresse complète)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Pièce d'identité (type et numéro)</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bidi w:val="0"/>
        <w:spacing w:before="198" w:after="68"/>
        <w:jc w:val="left"/>
        <w:rPr>
          <w:b/>
          <w:color w:val="0F5A7A"/>
          <w:spacing w:val="23"/>
          <w:sz w:val="17"/>
        </w:rPr>
      </w:pPr>
      <w:r>
        <w:rPr>
          <w:b/>
          <w:color w:val="0F5A7A"/>
          <w:spacing w:val="23"/>
          <w:sz w:val="17"/>
        </w:rPr>
        <w:t>Les actes autorisés</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Actes autorisés (énumérez-les)</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Biens ou affaires concernés</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Exclusions expresses</w:t>
            </w:r>
          </w:p>
        </w:tc>
        <w:tc>
          <w:tcPr>
            <w:tcW w:w="5670" w:type="dxa"/>
            <w:tcBorders/>
            <w:tcMar>
              <w:right w:w="0" w:type="dxa"/>
            </w:tcMar>
            <w:vAlign w:val="bottom"/>
          </w:tcPr>
          <w:p>
            <w:pPr>
              <w:pStyle w:val="Normal"/>
              <w:bidi w:val="0"/>
              <w:spacing w:before="0" w:after="0"/>
              <w:jc w:val="left"/>
              <w:rPr>
                <w:sz w:val="19"/>
              </w:rPr>
            </w:pPr>
            <w:r>
              <w:rPr>
                <w:sz w:val="19"/>
              </w:rPr>
              <w:t>Tout acte de disposition : vendre, hypothéquer, donner, renoncer à une succession</w:t>
            </w:r>
          </w:p>
        </w:tc>
      </w:tr>
    </w:tbl>
    <w:p>
      <w:pPr>
        <w:pStyle w:val="Normal"/>
        <w:pBdr>
          <w:left w:val="single" w:sz="20" w:space="7" w:color="0F5A7A"/>
        </w:pBdr>
        <w:shd w:fill="F2F7F9" w:val="clear"/>
        <w:bidi w:val="0"/>
        <w:spacing w:before="142" w:after="142"/>
        <w:jc w:val="both"/>
        <w:rPr>
          <w:sz w:val="17"/>
        </w:rPr>
      </w:pPr>
      <w:r>
        <w:rPr>
          <w:b/>
          <w:sz w:val="17"/>
        </w:rPr>
        <w:t>Général ne veut pas dire illimité.</w:t>
      </w:r>
      <w:r>
        <w:rPr>
          <w:sz w:val="17"/>
        </w:rPr>
        <w:t xml:space="preserve"> Un mandat rédigé en termes généraux ne couvre que les actes d'administration (article 1988). Énumérer les actes vaut mieux que généraliser, et une date de fin courte vaut mieux qu'un mandat ouvert.</w:t>
      </w:r>
    </w:p>
    <w:p>
      <w:pPr>
        <w:pStyle w:val="Normal"/>
        <w:bidi w:val="0"/>
        <w:spacing w:before="198" w:after="68"/>
        <w:jc w:val="left"/>
        <w:rPr>
          <w:b/>
          <w:color w:val="0F5A7A"/>
          <w:spacing w:val="23"/>
          <w:sz w:val="17"/>
        </w:rPr>
      </w:pPr>
      <w:r>
        <w:rPr>
          <w:b/>
          <w:color w:val="0F5A7A"/>
          <w:spacing w:val="23"/>
          <w:sz w:val="17"/>
        </w:rPr>
        <w:t>Durée</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Valable à partir du</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Jusqu'au</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p>
      <w:pPr>
        <w:pStyle w:val="Normal"/>
        <w:bidi w:val="0"/>
        <w:spacing w:before="0" w:after="85"/>
        <w:jc w:val="both"/>
        <w:rPr>
          <w:color w:val="555555"/>
          <w:sz w:val="17"/>
        </w:rPr>
      </w:pPr>
      <w:r>
        <w:rPr>
          <w:color w:val="555555"/>
          <w:sz w:val="17"/>
        </w:rPr>
        <w:t>La présente procuration prend fin à la date indiquée, par l'accomplissement de son objet, ou à tout moment sur révocation du mandant. Une copie de la pièce d'identité du mandant et de celle du mandataire y est annexée.</w:t>
      </w:r>
    </w:p>
    <w:p>
      <w:pPr>
        <w:pStyle w:val="Normal"/>
        <w:bidi w:val="0"/>
        <w:spacing w:before="198" w:after="68"/>
        <w:jc w:val="left"/>
        <w:rPr>
          <w:b/>
          <w:color w:val="0F5A7A"/>
          <w:spacing w:val="23"/>
          <w:sz w:val="17"/>
        </w:rPr>
      </w:pPr>
      <w:r>
        <w:rPr>
          <w:b/>
          <w:color w:val="0F5A7A"/>
          <w:spacing w:val="23"/>
          <w:sz w:val="17"/>
        </w:rPr>
        <w:t>Date, lieu et signatures</w:t>
      </w:r>
    </w:p>
    <w:tbl>
      <w:tblPr>
        <w:tblW w:w="9865" w:type="dxa"/>
        <w:jc w:val="left"/>
        <w:tblInd w:w="0" w:type="dxa"/>
        <w:tblLayout w:type="fixed"/>
        <w:tblCellMar>
          <w:top w:w="45" w:type="dxa"/>
          <w:left w:w="0" w:type="dxa"/>
          <w:bottom w:w="34" w:type="dxa"/>
          <w:right w:w="170" w:type="dxa"/>
        </w:tblCellMar>
      </w:tblPr>
      <w:tblGrid>
        <w:gridCol w:w="4195"/>
        <w:gridCol w:w="5670"/>
      </w:tblGrid>
      <w:tr>
        <w:trPr/>
        <w:tc>
          <w:tcPr>
            <w:tcW w:w="4195" w:type="dxa"/>
            <w:tcBorders/>
            <w:vAlign w:val="bottom"/>
          </w:tcPr>
          <w:p>
            <w:pPr>
              <w:pStyle w:val="Normal"/>
              <w:bidi w:val="0"/>
              <w:spacing w:before="0" w:after="0"/>
              <w:jc w:val="left"/>
              <w:rPr>
                <w:color w:val="444444"/>
                <w:sz w:val="17"/>
              </w:rPr>
            </w:pPr>
            <w:r>
              <w:rPr>
                <w:color w:val="444444"/>
                <w:sz w:val="17"/>
              </w:rPr>
              <w:t>Fait à</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r>
        <w:trPr/>
        <w:tc>
          <w:tcPr>
            <w:tcW w:w="4195" w:type="dxa"/>
            <w:tcBorders/>
            <w:vAlign w:val="bottom"/>
          </w:tcPr>
          <w:p>
            <w:pPr>
              <w:pStyle w:val="Normal"/>
              <w:bidi w:val="0"/>
              <w:spacing w:before="0" w:after="0"/>
              <w:jc w:val="left"/>
              <w:rPr>
                <w:color w:val="444444"/>
                <w:sz w:val="17"/>
              </w:rPr>
            </w:pPr>
            <w:r>
              <w:rPr>
                <w:color w:val="444444"/>
                <w:sz w:val="17"/>
              </w:rPr>
              <w:t>Le</w:t>
            </w:r>
          </w:p>
        </w:tc>
        <w:tc>
          <w:tcPr>
            <w:tcW w:w="5670" w:type="dxa"/>
            <w:tcBorders>
              <w:bottom w:val="single" w:sz="5" w:space="0" w:color="98A6AD"/>
            </w:tcBorders>
            <w:tcMar>
              <w:right w:w="0" w:type="dxa"/>
            </w:tcMar>
            <w:vAlign w:val="bottom"/>
          </w:tcPr>
          <w:p>
            <w:pPr>
              <w:pStyle w:val="Normal"/>
              <w:bidi w:val="0"/>
              <w:spacing w:before="0" w:after="0"/>
              <w:jc w:val="left"/>
              <w:rPr>
                <w:sz w:val="19"/>
              </w:rPr>
            </w:pPr>
            <w:r>
              <w:rPr>
                <w:sz w:val="19"/>
              </w:rPr>
            </w:r>
          </w:p>
        </w:tc>
      </w:tr>
    </w:tbl>
    <w:tbl>
      <w:tblPr>
        <w:tblW w:w="9865" w:type="dxa"/>
        <w:jc w:val="left"/>
        <w:tblInd w:w="0" w:type="dxa"/>
        <w:tblLayout w:type="fixed"/>
        <w:tblCellMar>
          <w:top w:w="624" w:type="dxa"/>
          <w:left w:w="0" w:type="dxa"/>
          <w:bottom w:w="0" w:type="dxa"/>
          <w:right w:w="340" w:type="dxa"/>
        </w:tblCellMar>
      </w:tblPr>
      <w:tblGrid>
        <w:gridCol w:w="4932"/>
        <w:gridCol w:w="4933"/>
      </w:tblGrid>
      <w:tr>
        <w:trPr/>
        <w:tc>
          <w:tcPr>
            <w:tcW w:w="4932" w:type="dxa"/>
            <w:tcBorders>
              <w:bottom w:val="single" w:sz="6" w:space="0" w:color="888888"/>
            </w:tcBorders>
          </w:tcPr>
          <w:p>
            <w:pPr>
              <w:pStyle w:val="Normal"/>
              <w:bidi w:val="0"/>
              <w:spacing w:before="0" w:after="0"/>
              <w:jc w:val="left"/>
              <w:rPr>
                <w:sz w:val="19"/>
              </w:rPr>
            </w:pPr>
            <w:r>
              <w:rPr>
                <w:sz w:val="19"/>
              </w:rPr>
            </w:r>
          </w:p>
        </w:tc>
        <w:tc>
          <w:tcPr>
            <w:tcW w:w="4933" w:type="dxa"/>
            <w:tcBorders>
              <w:bottom w:val="single" w:sz="6" w:space="0" w:color="888888"/>
            </w:tcBorders>
          </w:tcPr>
          <w:p>
            <w:pPr>
              <w:pStyle w:val="Normal"/>
              <w:bidi w:val="0"/>
              <w:spacing w:before="0" w:after="0"/>
              <w:jc w:val="left"/>
              <w:rPr>
                <w:sz w:val="19"/>
              </w:rPr>
            </w:pPr>
            <w:r>
              <w:rPr>
                <w:sz w:val="19"/>
              </w:rPr>
            </w:r>
          </w:p>
        </w:tc>
      </w:tr>
      <w:tr>
        <w:trPr/>
        <w:tc>
          <w:tcPr>
            <w:tcW w:w="4932" w:type="dxa"/>
            <w:tcBorders/>
            <w:tcMar>
              <w:top w:w="0" w:type="dxa"/>
            </w:tcMar>
          </w:tcPr>
          <w:p>
            <w:pPr>
              <w:pStyle w:val="Normal"/>
              <w:bidi w:val="0"/>
              <w:spacing w:before="57" w:after="0"/>
              <w:jc w:val="left"/>
              <w:rPr>
                <w:color w:val="666666"/>
                <w:sz w:val="16"/>
              </w:rPr>
            </w:pPr>
            <w:r>
              <w:rPr>
                <w:color w:val="666666"/>
                <w:sz w:val="16"/>
              </w:rPr>
              <w:t>Signature du mandant</w:t>
            </w:r>
          </w:p>
        </w:tc>
        <w:tc>
          <w:tcPr>
            <w:tcW w:w="4933" w:type="dxa"/>
            <w:tcBorders/>
            <w:tcMar>
              <w:top w:w="0" w:type="dxa"/>
            </w:tcMar>
          </w:tcPr>
          <w:p>
            <w:pPr>
              <w:pStyle w:val="Normal"/>
              <w:bidi w:val="0"/>
              <w:spacing w:before="57" w:after="0"/>
              <w:jc w:val="left"/>
              <w:rPr>
                <w:color w:val="666666"/>
                <w:sz w:val="16"/>
              </w:rPr>
            </w:pPr>
            <w:r>
              <w:rPr>
                <w:color w:val="666666"/>
                <w:sz w:val="16"/>
              </w:rPr>
              <w:t>Signature du mandataire, précédée de la mention manuscrite « bon pour acceptation de procuration »</w:t>
            </w:r>
          </w:p>
        </w:tc>
      </w:tr>
    </w:tbl>
    <w:p>
      <w:pPr>
        <w:pStyle w:val="Normal"/>
        <w:pBdr>
          <w:top w:val="single" w:sz="4" w:space="4" w:color="CCCCCC"/>
        </w:pBdr>
        <w:bidi w:val="0"/>
        <w:spacing w:before="198" w:after="45"/>
        <w:jc w:val="both"/>
        <w:rPr>
          <w:color w:val="666666"/>
          <w:sz w:val="15"/>
        </w:rPr>
      </w:pPr>
      <w:r>
        <w:rPr>
          <w:b/>
          <w:color w:val="666666"/>
          <w:sz w:val="15"/>
        </w:rPr>
        <w:t>Article 1984 du code civil</w:t>
      </w:r>
      <w:r>
        <w:rPr>
          <w:color w:val="666666"/>
          <w:sz w:val="15"/>
        </w:rPr>
        <w:t xml:space="preserve"> — Le mandat ou procuration est un acte par lequel une personne donne à une autre le pouvoir de faire quelque chose pour le mandant et en son nom.</w:t>
      </w:r>
    </w:p>
    <w:p>
      <w:pPr>
        <w:pStyle w:val="Normal"/>
        <w:bidi w:val="0"/>
        <w:spacing w:before="57" w:after="45"/>
        <w:jc w:val="both"/>
        <w:rPr>
          <w:color w:val="666666"/>
          <w:sz w:val="15"/>
        </w:rPr>
      </w:pPr>
      <w:r>
        <w:rPr>
          <w:b/>
          <w:color w:val="666666"/>
          <w:sz w:val="15"/>
        </w:rPr>
        <w:t>Article 1988 du code civil</w:t>
      </w:r>
      <w:r>
        <w:rPr>
          <w:color w:val="666666"/>
          <w:sz w:val="15"/>
        </w:rPr>
        <w:t xml:space="preserve"> — Le mandat conçu en termes généraux n'embrasse que les actes d'administration. S'il s'agit d'aliéner ou hypothéquer, ou de quelque autre acte de propriété, le mandat doit être exprès.</w:t>
      </w:r>
    </w:p>
    <w:p>
      <w:pPr>
        <w:pStyle w:val="Normal"/>
        <w:bidi w:val="0"/>
        <w:spacing w:before="57" w:after="45"/>
        <w:jc w:val="both"/>
        <w:rPr>
          <w:color w:val="666666"/>
          <w:sz w:val="15"/>
        </w:rPr>
      </w:pPr>
      <w:r>
        <w:rPr>
          <w:b/>
          <w:color w:val="666666"/>
          <w:sz w:val="15"/>
        </w:rPr>
        <w:t>Article 2003 du code civil</w:t>
      </w:r>
      <w:r>
        <w:rPr>
          <w:color w:val="666666"/>
          <w:sz w:val="15"/>
        </w:rPr>
        <w:t xml:space="preserve"> — Le mandat finit par la révocation du mandataire, par la renonciation de celui-ci au mandat, par la mort du mandant ou du mandataire.</w:t>
      </w:r>
    </w:p>
    <w:p>
      <w:pPr>
        <w:pStyle w:val="Normal"/>
        <w:bidi w:val="0"/>
        <w:spacing w:before="57" w:after="45"/>
        <w:jc w:val="both"/>
        <w:rPr>
          <w:color w:val="666666"/>
          <w:sz w:val="15"/>
        </w:rPr>
      </w:pPr>
      <w:r>
        <w:rPr>
          <w:b/>
          <w:color w:val="666666"/>
          <w:sz w:val="15"/>
        </w:rPr>
        <w:t>Article 2004 du code civil</w:t>
      </w:r>
      <w:r>
        <w:rPr>
          <w:color w:val="666666"/>
          <w:sz w:val="15"/>
        </w:rPr>
        <w:t xml:space="preserve"> — Le mandant peut révoquer sa procuration quand bon lui semble.</w:t>
      </w:r>
    </w:p>
    <w:p>
      <w:pPr>
        <w:pStyle w:val="Normal"/>
        <w:bidi w:val="0"/>
        <w:spacing w:before="57" w:after="45"/>
        <w:jc w:val="both"/>
        <w:rPr>
          <w:color w:val="666666"/>
          <w:sz w:val="15"/>
        </w:rPr>
      </w:pPr>
      <w:r>
        <w:rPr>
          <w:color w:val="666666"/>
          <w:sz w:val="15"/>
        </w:rPr>
        <w:t>Modèle gratuit — procurationcentrale.com · Document informatif, ne constitue pas un conseil juridique personnalisé.</w:t>
      </w:r>
    </w:p>
    <w:sectPr>
      <w:type w:val="nextPage"/>
      <w:pgSz w:w="11906" w:h="16838"/>
      <w:pgMar w:left="1020" w:right="1020" w:gutter="0" w:header="0" w:top="850" w:footer="0" w:bottom="68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ableContents">
    <w:name w:val="Table Contents"/>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Procuration Centrale</Application>
  <AppVersion>15.0000</AppVersion>
  <Company>Procuration Centrale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Procuration Centrale</dc:creator>
  <dc:description/>
  <dc:language>fr-FR</dc:language>
  <cp:lastModifiedBy>Procuration Centrale</cp:lastModifiedBy>
  <cp:revision>0</cp:revision>
  <dc:subject/>
  <dc:title>Procuration générale</dc:title>
  <dcterms:created>2026-01-01T00:00:00Z</dcterms:created>
  <dcterms:modified>2026-01-01T00:00:00Z</dcterms:modified>
</cp:coreProperties>
</file>