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 pour un véhicule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Prêt ou vente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propriétaire du véhicule désigné ci-dessous, autorise le mandataire à accomplir en mon nom la seule démarche indiquée, à l'exclusion de toute autre.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véhicule et la démarche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Immatriculation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Marque, modèle et numéro de série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Démarche autorisée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Conduire le véhicule   ☐ Vendre le véhicule   ☐ Formalité administrative</w:t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Précisions (prix minimum, trajet, dates)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Pour la carte grise, ce document ne suffit pas.</w:t>
      </w:r>
      <w:r>
        <w:rPr>
          <w:sz w:val="17"/>
        </w:rPr>
        <w:t xml:space="preserve"> L'immatriculation exige le formulaire officiel cerfa 13757, à télécharger sur le site de l'ANTS. Joignez toujours une copie de la carte grise et de l'attestation d'assurance.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1985 du code civil</w:t>
      </w:r>
      <w:r>
        <w:rPr>
          <w:color w:val="666666"/>
          <w:sz w:val="15"/>
        </w:rPr>
        <w:t xml:space="preserve"> — Le mandat peut être donné par acte authentique ou par acte sous seing privé, même par lettre. Il peut aussi être donné verbalement.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Procuration pour un véhicule</dc:title>
  <dcterms:created>2026-01-01T00:00:00Z</dcterms:created>
  <dcterms:modified>2026-01-01T00:00:00Z</dcterms:modified>
</cp:coreProperties>
</file>